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EFA16" w14:textId="77777777" w:rsidR="00121564" w:rsidRDefault="00EE1793" w:rsidP="00EE1793">
      <w:pPr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  <w:r w:rsidRPr="00EE1793">
        <w:rPr>
          <w:rFonts w:ascii="Montserrat" w:hAnsi="Montserrat"/>
          <w:b/>
          <w:bCs/>
          <w:sz w:val="20"/>
          <w:szCs w:val="20"/>
        </w:rPr>
        <w:t>Anexo técnico</w:t>
      </w:r>
      <w:r w:rsidR="00121564">
        <w:rPr>
          <w:rStyle w:val="Refdenotaalpie"/>
          <w:rFonts w:ascii="Montserrat" w:hAnsi="Montserrat"/>
          <w:b/>
          <w:bCs/>
          <w:sz w:val="20"/>
          <w:szCs w:val="20"/>
        </w:rPr>
        <w:footnoteReference w:id="1"/>
      </w:r>
      <w:r w:rsidRPr="00EE1793">
        <w:rPr>
          <w:rFonts w:ascii="Montserrat" w:hAnsi="Montserrat"/>
          <w:b/>
          <w:bCs/>
          <w:sz w:val="20"/>
          <w:szCs w:val="20"/>
        </w:rPr>
        <w:t xml:space="preserve"> para la adquisición de bienes terapéuticos de </w:t>
      </w:r>
      <w:r>
        <w:rPr>
          <w:rFonts w:ascii="Montserrat" w:hAnsi="Montserrat"/>
          <w:b/>
          <w:bCs/>
          <w:sz w:val="20"/>
          <w:szCs w:val="20"/>
        </w:rPr>
        <w:t xml:space="preserve">los </w:t>
      </w:r>
      <w:r w:rsidRPr="00EE1793">
        <w:rPr>
          <w:rFonts w:ascii="Montserrat" w:hAnsi="Montserrat"/>
          <w:b/>
          <w:bCs/>
          <w:sz w:val="20"/>
          <w:szCs w:val="20"/>
        </w:rPr>
        <w:t>grupos 010 (</w:t>
      </w:r>
      <w:r>
        <w:rPr>
          <w:rFonts w:ascii="Montserrat" w:hAnsi="Montserrat"/>
          <w:b/>
          <w:bCs/>
          <w:sz w:val="20"/>
          <w:szCs w:val="20"/>
        </w:rPr>
        <w:t>M</w:t>
      </w:r>
      <w:r w:rsidRPr="00EE1793">
        <w:rPr>
          <w:rFonts w:ascii="Montserrat" w:hAnsi="Montserrat"/>
          <w:b/>
          <w:bCs/>
          <w:sz w:val="20"/>
          <w:szCs w:val="20"/>
        </w:rPr>
        <w:t>edicamentos), 030 (</w:t>
      </w:r>
      <w:r>
        <w:rPr>
          <w:rFonts w:ascii="Montserrat" w:hAnsi="Montserrat"/>
          <w:b/>
          <w:bCs/>
          <w:sz w:val="20"/>
          <w:szCs w:val="20"/>
        </w:rPr>
        <w:t>F</w:t>
      </w:r>
      <w:r w:rsidRPr="00EE1793">
        <w:rPr>
          <w:rFonts w:ascii="Montserrat" w:hAnsi="Montserrat"/>
          <w:b/>
          <w:bCs/>
          <w:sz w:val="20"/>
          <w:szCs w:val="20"/>
        </w:rPr>
        <w:t>órmulas) y 040 (</w:t>
      </w:r>
      <w:r>
        <w:rPr>
          <w:rFonts w:ascii="Montserrat" w:hAnsi="Montserrat"/>
          <w:b/>
          <w:bCs/>
          <w:sz w:val="20"/>
          <w:szCs w:val="20"/>
        </w:rPr>
        <w:t>E</w:t>
      </w:r>
      <w:r w:rsidRPr="00EE1793">
        <w:rPr>
          <w:rFonts w:ascii="Montserrat" w:hAnsi="Montserrat"/>
          <w:b/>
          <w:bCs/>
          <w:sz w:val="20"/>
          <w:szCs w:val="20"/>
        </w:rPr>
        <w:t>st</w:t>
      </w:r>
      <w:r>
        <w:rPr>
          <w:rFonts w:ascii="Montserrat" w:hAnsi="Montserrat"/>
          <w:b/>
          <w:bCs/>
          <w:sz w:val="20"/>
          <w:szCs w:val="20"/>
        </w:rPr>
        <w:t>u</w:t>
      </w:r>
      <w:r w:rsidRPr="00EE1793">
        <w:rPr>
          <w:rFonts w:ascii="Montserrat" w:hAnsi="Montserrat"/>
          <w:b/>
          <w:bCs/>
          <w:sz w:val="20"/>
          <w:szCs w:val="20"/>
        </w:rPr>
        <w:t xml:space="preserve">pefacientes y psicotrópicos), </w:t>
      </w:r>
      <w:r>
        <w:rPr>
          <w:rFonts w:ascii="Montserrat" w:hAnsi="Montserrat"/>
          <w:b/>
          <w:bCs/>
          <w:sz w:val="20"/>
          <w:szCs w:val="20"/>
        </w:rPr>
        <w:t xml:space="preserve">conforme a las descripciones contenidas </w:t>
      </w:r>
      <w:r w:rsidRPr="00EE1793">
        <w:rPr>
          <w:rFonts w:ascii="Montserrat" w:hAnsi="Montserrat"/>
          <w:b/>
          <w:bCs/>
          <w:sz w:val="20"/>
          <w:szCs w:val="20"/>
        </w:rPr>
        <w:t xml:space="preserve">en el Compendio Nacional </w:t>
      </w:r>
      <w:r>
        <w:rPr>
          <w:rFonts w:ascii="Montserrat" w:hAnsi="Montserrat"/>
          <w:b/>
          <w:bCs/>
          <w:sz w:val="20"/>
          <w:szCs w:val="20"/>
        </w:rPr>
        <w:t>d</w:t>
      </w:r>
      <w:r w:rsidRPr="00EE1793">
        <w:rPr>
          <w:rFonts w:ascii="Montserrat" w:hAnsi="Montserrat"/>
          <w:b/>
          <w:bCs/>
          <w:sz w:val="20"/>
          <w:szCs w:val="20"/>
        </w:rPr>
        <w:t xml:space="preserve">e Insumos </w:t>
      </w:r>
      <w:r>
        <w:rPr>
          <w:rFonts w:ascii="Montserrat" w:hAnsi="Montserrat"/>
          <w:b/>
          <w:bCs/>
          <w:sz w:val="20"/>
          <w:szCs w:val="20"/>
        </w:rPr>
        <w:t>p</w:t>
      </w:r>
      <w:r w:rsidRPr="00EE1793">
        <w:rPr>
          <w:rFonts w:ascii="Montserrat" w:hAnsi="Montserrat"/>
          <w:b/>
          <w:bCs/>
          <w:sz w:val="20"/>
          <w:szCs w:val="20"/>
        </w:rPr>
        <w:t xml:space="preserve">ara </w:t>
      </w:r>
      <w:r>
        <w:rPr>
          <w:rFonts w:ascii="Montserrat" w:hAnsi="Montserrat"/>
          <w:b/>
          <w:bCs/>
          <w:sz w:val="20"/>
          <w:szCs w:val="20"/>
        </w:rPr>
        <w:t>l</w:t>
      </w:r>
      <w:r w:rsidRPr="00EE1793">
        <w:rPr>
          <w:rFonts w:ascii="Montserrat" w:hAnsi="Montserrat"/>
          <w:b/>
          <w:bCs/>
          <w:sz w:val="20"/>
          <w:szCs w:val="20"/>
        </w:rPr>
        <w:t>a Salud. para la MEGAFARMACIA.</w:t>
      </w:r>
    </w:p>
    <w:p w14:paraId="1B1772D0" w14:textId="1CA2DC7F" w:rsidR="00EE1793" w:rsidRPr="00EE1793" w:rsidRDefault="00000000" w:rsidP="00EE1793">
      <w:pPr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  <w:r>
        <w:rPr>
          <w:rFonts w:ascii="Montserrat" w:hAnsi="Montserrat"/>
          <w:sz w:val="20"/>
          <w:szCs w:val="20"/>
        </w:rPr>
        <w:pict w14:anchorId="3DD12C72">
          <v:rect id="_x0000_i1025" style="width:0;height:1.5pt" o:hralign="center" o:hrstd="t" o:hr="t" fillcolor="#a0a0a0" stroked="f"/>
        </w:pict>
      </w:r>
    </w:p>
    <w:p w14:paraId="17E1E3EB" w14:textId="77777777" w:rsidR="00EE1793" w:rsidRPr="00EE1793" w:rsidRDefault="00EE1793" w:rsidP="00EE1793">
      <w:pPr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</w:p>
    <w:p w14:paraId="7C741A48" w14:textId="77777777" w:rsidR="00EE1793" w:rsidRPr="00EE1793" w:rsidRDefault="00EE1793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6D9C5F70" w14:textId="72FE11DD" w:rsidR="00EE1793" w:rsidRPr="00897EB4" w:rsidRDefault="00EE1793" w:rsidP="00897EB4">
      <w:pPr>
        <w:shd w:val="clear" w:color="auto" w:fill="000000" w:themeFill="text1"/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  <w:r w:rsidRPr="00897EB4">
        <w:rPr>
          <w:rFonts w:ascii="Montserrat" w:hAnsi="Montserrat"/>
          <w:b/>
          <w:bCs/>
          <w:sz w:val="20"/>
          <w:szCs w:val="20"/>
        </w:rPr>
        <w:t xml:space="preserve">1.- Objeto de la contratación. </w:t>
      </w:r>
    </w:p>
    <w:p w14:paraId="271A5787" w14:textId="77777777" w:rsidR="00EE1793" w:rsidRDefault="00EE1793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0559D5EF" w14:textId="4AE6C0A3" w:rsidR="00EE1793" w:rsidRDefault="00EE1793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Servicios de Salud para el Instituto Mexicano del Seguro Social para el Bienestar, requiere la </w:t>
      </w:r>
      <w:r w:rsidRPr="00EE1793">
        <w:rPr>
          <w:rFonts w:ascii="Montserrat" w:hAnsi="Montserrat"/>
          <w:sz w:val="20"/>
          <w:szCs w:val="20"/>
        </w:rPr>
        <w:t>adquisición de bienes terapéuticos de los grupos 010 (Medicamentos), 030 (Fórmulas) y 040 (Estupefacientes y psicotrópicos), conforme a las descripciones contenidas en el Compendio Nacional de Insumos para la Salud. para la MEGAFARMACIA.</w:t>
      </w:r>
    </w:p>
    <w:p w14:paraId="359DF795" w14:textId="77777777" w:rsidR="00EE1793" w:rsidRDefault="00EE1793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4429F51C" w14:textId="5F984254" w:rsidR="00EE1793" w:rsidRPr="00897EB4" w:rsidRDefault="00EE1793" w:rsidP="00897EB4">
      <w:pPr>
        <w:shd w:val="clear" w:color="auto" w:fill="000000" w:themeFill="text1"/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  <w:r w:rsidRPr="00897EB4">
        <w:rPr>
          <w:rFonts w:ascii="Montserrat" w:hAnsi="Montserrat"/>
          <w:b/>
          <w:bCs/>
          <w:sz w:val="20"/>
          <w:szCs w:val="20"/>
        </w:rPr>
        <w:t>2.- Vigencia del contrato.</w:t>
      </w:r>
    </w:p>
    <w:p w14:paraId="3FDE23F2" w14:textId="77777777" w:rsidR="00EE1793" w:rsidRDefault="00EE1793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0975B771" w14:textId="06C4D84D" w:rsidR="00EE1793" w:rsidRDefault="00EE1793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La vigencia de los contratos que se deriven del procedimiento de contratación será a partir del día hábil siguiente a la notificación de la adjudicación y </w:t>
      </w:r>
      <w:r w:rsidR="00897EB4">
        <w:rPr>
          <w:rFonts w:ascii="Montserrat" w:hAnsi="Montserrat"/>
          <w:sz w:val="20"/>
          <w:szCs w:val="20"/>
        </w:rPr>
        <w:t xml:space="preserve">hasta el 31 de diciembre de 2024. </w:t>
      </w:r>
    </w:p>
    <w:p w14:paraId="3BBD3B97" w14:textId="77777777" w:rsidR="00EE1793" w:rsidRDefault="00EE1793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18AD054C" w14:textId="74796AF8" w:rsidR="00EE1793" w:rsidRPr="00897EB4" w:rsidRDefault="00897EB4" w:rsidP="00897EB4">
      <w:pPr>
        <w:shd w:val="clear" w:color="auto" w:fill="000000" w:themeFill="text1"/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  <w:r w:rsidRPr="00897EB4">
        <w:rPr>
          <w:rFonts w:ascii="Montserrat" w:hAnsi="Montserrat"/>
          <w:b/>
          <w:bCs/>
          <w:sz w:val="20"/>
          <w:szCs w:val="20"/>
        </w:rPr>
        <w:t xml:space="preserve">3.- </w:t>
      </w:r>
      <w:r w:rsidR="00EE1793" w:rsidRPr="00897EB4">
        <w:rPr>
          <w:rFonts w:ascii="Montserrat" w:hAnsi="Montserrat"/>
          <w:b/>
          <w:bCs/>
          <w:sz w:val="20"/>
          <w:szCs w:val="20"/>
        </w:rPr>
        <w:t>Descripción amplia y detallada de los bienes a adquirir</w:t>
      </w:r>
      <w:r w:rsidRPr="00897EB4">
        <w:rPr>
          <w:rFonts w:ascii="Montserrat" w:hAnsi="Montserrat"/>
          <w:b/>
          <w:bCs/>
          <w:sz w:val="20"/>
          <w:szCs w:val="20"/>
        </w:rPr>
        <w:t>.</w:t>
      </w:r>
    </w:p>
    <w:p w14:paraId="1832933E" w14:textId="77777777" w:rsidR="00897EB4" w:rsidRDefault="00897EB4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3ACC2DB9" w14:textId="3BEBABD0" w:rsidR="00897EB4" w:rsidRDefault="00897EB4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Los bienes objeto de la presente contratación se encuentran detallados en el Anexo 1. Requerimiento. </w:t>
      </w:r>
    </w:p>
    <w:p w14:paraId="76C4F572" w14:textId="77777777" w:rsidR="00897EB4" w:rsidRDefault="00897EB4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0949322D" w14:textId="5A587CB2" w:rsidR="00EE1793" w:rsidRPr="00897EB4" w:rsidRDefault="00897EB4" w:rsidP="00897EB4">
      <w:pPr>
        <w:shd w:val="clear" w:color="auto" w:fill="000000" w:themeFill="text1"/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  <w:r w:rsidRPr="00897EB4">
        <w:rPr>
          <w:rFonts w:ascii="Montserrat" w:hAnsi="Montserrat"/>
          <w:b/>
          <w:bCs/>
          <w:sz w:val="20"/>
          <w:szCs w:val="20"/>
        </w:rPr>
        <w:t xml:space="preserve">4.- </w:t>
      </w:r>
      <w:r w:rsidR="00EE1793" w:rsidRPr="00897EB4">
        <w:rPr>
          <w:rFonts w:ascii="Montserrat" w:hAnsi="Montserrat"/>
          <w:b/>
          <w:bCs/>
          <w:sz w:val="20"/>
          <w:szCs w:val="20"/>
        </w:rPr>
        <w:t>Proceso de entrega de bienes</w:t>
      </w:r>
    </w:p>
    <w:p w14:paraId="1FC6951F" w14:textId="77777777" w:rsidR="00897EB4" w:rsidRDefault="00897EB4" w:rsidP="00897EB4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3EAE4B1B" w14:textId="31E1D81C" w:rsidR="00897EB4" w:rsidRDefault="00897EB4" w:rsidP="00897EB4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  <w:r w:rsidRPr="005F708D">
        <w:rPr>
          <w:rFonts w:ascii="Montserrat" w:hAnsi="Montserrat"/>
          <w:sz w:val="20"/>
          <w:szCs w:val="20"/>
        </w:rPr>
        <w:t>La entrega de los bienes se realizará</w:t>
      </w:r>
      <w:r w:rsidR="00323AB3" w:rsidRPr="005F708D">
        <w:rPr>
          <w:rFonts w:ascii="Montserrat" w:hAnsi="Montserrat"/>
          <w:sz w:val="20"/>
          <w:szCs w:val="20"/>
        </w:rPr>
        <w:t xml:space="preserve"> de forma directa a</w:t>
      </w:r>
      <w:r w:rsidRPr="005F708D">
        <w:rPr>
          <w:rFonts w:ascii="Montserrat" w:hAnsi="Montserrat"/>
          <w:sz w:val="20"/>
          <w:szCs w:val="20"/>
        </w:rPr>
        <w:t xml:space="preserve"> </w:t>
      </w:r>
      <w:r w:rsidR="000A24D1" w:rsidRPr="005F708D">
        <w:rPr>
          <w:rFonts w:ascii="Montserrat" w:hAnsi="Montserrat"/>
          <w:sz w:val="20"/>
          <w:szCs w:val="20"/>
        </w:rPr>
        <w:t xml:space="preserve">la </w:t>
      </w:r>
      <w:proofErr w:type="spellStart"/>
      <w:r w:rsidR="000A24D1" w:rsidRPr="005F708D">
        <w:rPr>
          <w:rFonts w:ascii="Montserrat" w:hAnsi="Montserrat"/>
          <w:sz w:val="20"/>
          <w:szCs w:val="20"/>
        </w:rPr>
        <w:t>Megafarmacia</w:t>
      </w:r>
      <w:proofErr w:type="spellEnd"/>
      <w:r w:rsidR="000A24D1" w:rsidRPr="005F708D">
        <w:rPr>
          <w:rFonts w:ascii="Montserrat" w:hAnsi="Montserrat"/>
          <w:sz w:val="20"/>
          <w:szCs w:val="20"/>
        </w:rPr>
        <w:t xml:space="preserve"> ubicada en</w:t>
      </w:r>
      <w:r w:rsidR="00323AB3" w:rsidRPr="005F708D">
        <w:rPr>
          <w:rFonts w:ascii="Montserrat" w:hAnsi="Montserrat"/>
          <w:sz w:val="20"/>
          <w:szCs w:val="20"/>
        </w:rPr>
        <w:t xml:space="preserve"> </w:t>
      </w:r>
      <w:r w:rsidR="00323AB3" w:rsidRPr="00365554">
        <w:rPr>
          <w:rFonts w:ascii="Montserrat" w:hAnsi="Montserrat"/>
          <w:sz w:val="20"/>
          <w:szCs w:val="20"/>
        </w:rPr>
        <w:t>Carretera Jorobas-Tula</w:t>
      </w:r>
      <w:r w:rsidR="005F708D" w:rsidRPr="00365554">
        <w:rPr>
          <w:rFonts w:ascii="Montserrat" w:hAnsi="Montserrat"/>
          <w:sz w:val="20"/>
          <w:szCs w:val="20"/>
        </w:rPr>
        <w:t xml:space="preserve"> Kilómetro 5.5 Huehuetoca, Estado de México</w:t>
      </w:r>
      <w:r w:rsidR="003A0DFA" w:rsidRPr="00365554">
        <w:rPr>
          <w:rFonts w:ascii="Montserrat" w:hAnsi="Montserrat"/>
          <w:sz w:val="20"/>
          <w:szCs w:val="20"/>
        </w:rPr>
        <w:t>, México</w:t>
      </w:r>
      <w:r w:rsidR="00323AB3">
        <w:rPr>
          <w:rFonts w:ascii="Montserrat" w:hAnsi="Montserrat"/>
          <w:sz w:val="20"/>
          <w:szCs w:val="20"/>
        </w:rPr>
        <w:t xml:space="preserve"> </w:t>
      </w:r>
    </w:p>
    <w:p w14:paraId="4C7BBA98" w14:textId="77777777" w:rsidR="00897EB4" w:rsidRDefault="00897EB4" w:rsidP="00897EB4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11AF5539" w14:textId="3BA97948" w:rsidR="00EE1793" w:rsidRPr="000A24D1" w:rsidRDefault="000A24D1" w:rsidP="00B3562A">
      <w:pPr>
        <w:shd w:val="clear" w:color="auto" w:fill="000000" w:themeFill="text1"/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  <w:r w:rsidRPr="000A24D1">
        <w:rPr>
          <w:rFonts w:ascii="Montserrat" w:hAnsi="Montserrat"/>
          <w:b/>
          <w:bCs/>
          <w:sz w:val="20"/>
          <w:szCs w:val="20"/>
        </w:rPr>
        <w:t>5.-</w:t>
      </w:r>
      <w:r w:rsidR="00EE1793" w:rsidRPr="000A24D1">
        <w:rPr>
          <w:rFonts w:ascii="Montserrat" w:hAnsi="Montserrat"/>
          <w:b/>
          <w:bCs/>
          <w:sz w:val="20"/>
          <w:szCs w:val="20"/>
        </w:rPr>
        <w:t>Los formatos anexos, mediante los cuales se realizará la entrega-recepción, seguimiento, validación y aquellas funciones que se consideren necesarias para la correcta administración de</w:t>
      </w:r>
      <w:r w:rsidRPr="000A24D1">
        <w:rPr>
          <w:rFonts w:ascii="Montserrat" w:hAnsi="Montserrat"/>
          <w:b/>
          <w:bCs/>
          <w:sz w:val="20"/>
          <w:szCs w:val="20"/>
        </w:rPr>
        <w:t xml:space="preserve"> la</w:t>
      </w:r>
      <w:r w:rsidR="00EE1793" w:rsidRPr="000A24D1">
        <w:rPr>
          <w:rFonts w:ascii="Montserrat" w:hAnsi="Montserrat"/>
          <w:b/>
          <w:bCs/>
          <w:sz w:val="20"/>
          <w:szCs w:val="20"/>
        </w:rPr>
        <w:t xml:space="preserve"> entrega de bienes.</w:t>
      </w:r>
    </w:p>
    <w:p w14:paraId="2B6F4545" w14:textId="77777777" w:rsidR="000A24D1" w:rsidRDefault="000A24D1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0DE0D158" w14:textId="4032E23A" w:rsidR="00B3562A" w:rsidRDefault="00B3562A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Lo formatos que se detallan a continuación se proporcionan para que el licitante esté en posibilidad de llevar a cabo la entrega </w:t>
      </w:r>
      <w:r w:rsidR="00323AB3">
        <w:rPr>
          <w:rFonts w:ascii="Montserrat" w:hAnsi="Montserrat"/>
          <w:sz w:val="20"/>
          <w:szCs w:val="20"/>
        </w:rPr>
        <w:t xml:space="preserve">directa </w:t>
      </w:r>
      <w:r>
        <w:rPr>
          <w:rFonts w:ascii="Montserrat" w:hAnsi="Montserrat"/>
          <w:sz w:val="20"/>
          <w:szCs w:val="20"/>
        </w:rPr>
        <w:t>de los bienes. No será necesario formalizar un acta de entrega-recepción, bastará con el sello de conformidad que otorgue el almacén de recibo.</w:t>
      </w:r>
    </w:p>
    <w:p w14:paraId="1CF0AB24" w14:textId="77777777" w:rsidR="000A24D1" w:rsidRDefault="000A24D1" w:rsidP="00EE1793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29A808B4" w14:textId="1F496BAE" w:rsidR="00EE1793" w:rsidRPr="00121564" w:rsidRDefault="000A24D1" w:rsidP="00B3562A">
      <w:pPr>
        <w:shd w:val="clear" w:color="auto" w:fill="000000" w:themeFill="text1"/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  <w:r w:rsidRPr="00121564">
        <w:rPr>
          <w:rFonts w:ascii="Montserrat" w:hAnsi="Montserrat"/>
          <w:b/>
          <w:bCs/>
          <w:sz w:val="20"/>
          <w:szCs w:val="20"/>
        </w:rPr>
        <w:t>6.- P</w:t>
      </w:r>
      <w:r w:rsidR="00EE1793" w:rsidRPr="00121564">
        <w:rPr>
          <w:rFonts w:ascii="Montserrat" w:hAnsi="Montserrat"/>
          <w:b/>
          <w:bCs/>
          <w:sz w:val="20"/>
          <w:szCs w:val="20"/>
        </w:rPr>
        <w:t>ruebas</w:t>
      </w:r>
    </w:p>
    <w:p w14:paraId="741ECC59" w14:textId="77777777" w:rsidR="00B3562A" w:rsidRDefault="00B3562A" w:rsidP="00B3562A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79F5C4E4" w14:textId="74C66B8E" w:rsidR="00B3562A" w:rsidRDefault="00B3562A" w:rsidP="00B3562A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Para el presente procedimiento no se solicitan muestras para la realización de pruebas.</w:t>
      </w:r>
    </w:p>
    <w:p w14:paraId="78F606E0" w14:textId="77777777" w:rsidR="00B3562A" w:rsidRPr="00EE1793" w:rsidRDefault="00B3562A" w:rsidP="00B3562A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p w14:paraId="03AEDF2C" w14:textId="76D7EEF5" w:rsidR="00EE1793" w:rsidRPr="00121564" w:rsidRDefault="00B3562A" w:rsidP="00B3562A">
      <w:pPr>
        <w:shd w:val="clear" w:color="auto" w:fill="000000" w:themeFill="text1"/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  <w:r w:rsidRPr="00121564">
        <w:rPr>
          <w:rFonts w:ascii="Montserrat" w:hAnsi="Montserrat"/>
          <w:b/>
          <w:bCs/>
          <w:sz w:val="20"/>
          <w:szCs w:val="20"/>
        </w:rPr>
        <w:t xml:space="preserve">7. </w:t>
      </w:r>
      <w:r w:rsidR="00EE1793" w:rsidRPr="00121564">
        <w:rPr>
          <w:rFonts w:ascii="Montserrat" w:hAnsi="Montserrat"/>
          <w:b/>
          <w:bCs/>
          <w:sz w:val="20"/>
          <w:szCs w:val="20"/>
        </w:rPr>
        <w:t xml:space="preserve">Normas: Oficial Mexicana, Estándar (antes </w:t>
      </w:r>
      <w:r w:rsidRPr="00121564">
        <w:rPr>
          <w:rFonts w:ascii="Montserrat" w:hAnsi="Montserrat"/>
          <w:b/>
          <w:bCs/>
          <w:sz w:val="20"/>
          <w:szCs w:val="20"/>
        </w:rPr>
        <w:t>mexicana</w:t>
      </w:r>
      <w:r w:rsidR="00EE1793" w:rsidRPr="00121564">
        <w:rPr>
          <w:rFonts w:ascii="Montserrat" w:hAnsi="Montserrat"/>
          <w:b/>
          <w:bCs/>
          <w:sz w:val="20"/>
          <w:szCs w:val="20"/>
        </w:rPr>
        <w:t>), Internacional, de Referencia o Especificación Técnica, que resulte aplicable a los bienes o servicios requeridos</w:t>
      </w:r>
      <w:r w:rsidRPr="00121564">
        <w:rPr>
          <w:rFonts w:ascii="Montserrat" w:hAnsi="Montserrat"/>
          <w:b/>
          <w:bCs/>
          <w:sz w:val="20"/>
          <w:szCs w:val="20"/>
        </w:rPr>
        <w:t>.</w:t>
      </w:r>
    </w:p>
    <w:p w14:paraId="6D24A1FD" w14:textId="77777777" w:rsidR="00B3562A" w:rsidRPr="00121564" w:rsidRDefault="00B3562A" w:rsidP="00EE1793">
      <w:pPr>
        <w:spacing w:after="0" w:line="240" w:lineRule="auto"/>
        <w:jc w:val="both"/>
        <w:rPr>
          <w:rFonts w:ascii="Montserrat" w:hAnsi="Montserrat"/>
          <w:b/>
          <w:bCs/>
          <w:sz w:val="20"/>
          <w:szCs w:val="20"/>
        </w:rPr>
      </w:pPr>
    </w:p>
    <w:p w14:paraId="4A19A16C" w14:textId="77777777" w:rsidR="00B3562A" w:rsidRDefault="00B3562A" w:rsidP="00B3562A">
      <w:pPr>
        <w:spacing w:after="0" w:line="240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B3562A">
        <w:rPr>
          <w:rFonts w:ascii="Montserrat" w:eastAsia="Montserrat" w:hAnsi="Montserrat" w:cs="Montserrat"/>
          <w:sz w:val="20"/>
          <w:szCs w:val="20"/>
        </w:rPr>
        <w:t xml:space="preserve">Con fundamento en lo dispuesto en el artículo 31 del Reglamento de la Ley de Adquisiciones, Arrendamientos y Servicios del Sector Público, así como, de conformidad con lo establecido en el artículo 60, </w:t>
      </w:r>
      <w:r>
        <w:rPr>
          <w:rFonts w:ascii="Montserrat" w:eastAsia="Montserrat" w:hAnsi="Montserrat" w:cs="Montserrat"/>
          <w:sz w:val="20"/>
          <w:szCs w:val="20"/>
        </w:rPr>
        <w:t>f</w:t>
      </w:r>
      <w:r w:rsidRPr="00B3562A">
        <w:rPr>
          <w:rFonts w:ascii="Montserrat" w:eastAsia="Montserrat" w:hAnsi="Montserrat" w:cs="Montserrat"/>
          <w:sz w:val="20"/>
          <w:szCs w:val="20"/>
        </w:rPr>
        <w:t xml:space="preserve">racción III de la Ley de Infraestructura de la Calidad, los </w:t>
      </w:r>
      <w:r>
        <w:rPr>
          <w:rFonts w:ascii="Montserrat" w:eastAsia="Montserrat" w:hAnsi="Montserrat" w:cs="Montserrat"/>
          <w:sz w:val="20"/>
          <w:szCs w:val="20"/>
        </w:rPr>
        <w:t>licitantes</w:t>
      </w:r>
      <w:r w:rsidRPr="00B3562A">
        <w:rPr>
          <w:rFonts w:ascii="Montserrat" w:eastAsia="Montserrat" w:hAnsi="Montserrat" w:cs="Montserrat"/>
          <w:sz w:val="20"/>
          <w:szCs w:val="20"/>
        </w:rPr>
        <w:t xml:space="preserve"> deberán garantizar que en el proceso de fabricación, almacenamiento y distribución de los bienes en que se presenta propuesta técnica</w:t>
      </w:r>
      <w:r>
        <w:rPr>
          <w:rFonts w:ascii="Montserrat" w:eastAsia="Montserrat" w:hAnsi="Montserrat" w:cs="Montserrat"/>
          <w:sz w:val="20"/>
          <w:szCs w:val="20"/>
        </w:rPr>
        <w:t xml:space="preserve">. </w:t>
      </w:r>
    </w:p>
    <w:p w14:paraId="7F837AD3" w14:textId="77777777" w:rsidR="00B3562A" w:rsidRDefault="00B3562A" w:rsidP="00B3562A">
      <w:pPr>
        <w:spacing w:after="0" w:line="240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786540A2" w14:textId="7B1D9060" w:rsidR="00B3562A" w:rsidRDefault="00B3562A" w:rsidP="00B3562A">
      <w:pPr>
        <w:spacing w:after="0" w:line="240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Como parte de la propuesta técnica, los licitantes deberán presentar escrito en el que señalen que </w:t>
      </w:r>
      <w:r w:rsidRPr="00B3562A">
        <w:rPr>
          <w:rFonts w:ascii="Montserrat" w:eastAsia="Montserrat" w:hAnsi="Montserrat" w:cs="Montserrat"/>
          <w:sz w:val="20"/>
          <w:szCs w:val="20"/>
        </w:rPr>
        <w:t>cumple</w:t>
      </w:r>
      <w:r>
        <w:rPr>
          <w:rFonts w:ascii="Montserrat" w:eastAsia="Montserrat" w:hAnsi="Montserrat" w:cs="Montserrat"/>
          <w:sz w:val="20"/>
          <w:szCs w:val="20"/>
        </w:rPr>
        <w:t>n</w:t>
      </w:r>
      <w:r w:rsidRPr="00B3562A">
        <w:rPr>
          <w:rFonts w:ascii="Montserrat" w:eastAsia="Montserrat" w:hAnsi="Montserrat" w:cs="Montserrat"/>
          <w:sz w:val="20"/>
          <w:szCs w:val="20"/>
        </w:rPr>
        <w:t xml:space="preserve"> con las siguientes disposiciones, en los artículos y apartados que resultan aplicables:</w:t>
      </w:r>
    </w:p>
    <w:p w14:paraId="7254B6C5" w14:textId="77777777" w:rsidR="00323AB3" w:rsidRPr="00B3562A" w:rsidRDefault="00323AB3" w:rsidP="00B3562A">
      <w:pPr>
        <w:spacing w:after="0" w:line="240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5F6D7A3D" w14:textId="77777777" w:rsidR="00B3562A" w:rsidRPr="00B3562A" w:rsidRDefault="00B3562A" w:rsidP="00B356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 xml:space="preserve">Ley General de Salud. </w:t>
      </w:r>
    </w:p>
    <w:p w14:paraId="05F76BE0" w14:textId="51C6CB35" w:rsidR="00B3562A" w:rsidRPr="00B3562A" w:rsidRDefault="00B3562A" w:rsidP="00B356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 xml:space="preserve">Reglamento de la Ley General de Salud en </w:t>
      </w:r>
      <w:r>
        <w:rPr>
          <w:rFonts w:ascii="Montserrat" w:eastAsia="Montserrat" w:hAnsi="Montserrat" w:cs="Montserrat"/>
          <w:color w:val="000000"/>
          <w:sz w:val="20"/>
          <w:szCs w:val="20"/>
        </w:rPr>
        <w:t>m</w:t>
      </w: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 xml:space="preserve">ateria de </w:t>
      </w:r>
      <w:r>
        <w:rPr>
          <w:rFonts w:ascii="Montserrat" w:eastAsia="Montserrat" w:hAnsi="Montserrat" w:cs="Montserrat"/>
          <w:color w:val="000000"/>
          <w:sz w:val="20"/>
          <w:szCs w:val="20"/>
        </w:rPr>
        <w:t>p</w:t>
      </w: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 xml:space="preserve">restación de </w:t>
      </w:r>
      <w:r>
        <w:rPr>
          <w:rFonts w:ascii="Montserrat" w:eastAsia="Montserrat" w:hAnsi="Montserrat" w:cs="Montserrat"/>
          <w:color w:val="000000"/>
          <w:sz w:val="20"/>
          <w:szCs w:val="20"/>
        </w:rPr>
        <w:t>s</w:t>
      </w: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 xml:space="preserve">ervicios y </w:t>
      </w:r>
      <w:r>
        <w:rPr>
          <w:rFonts w:ascii="Montserrat" w:eastAsia="Montserrat" w:hAnsi="Montserrat" w:cs="Montserrat"/>
          <w:color w:val="000000"/>
          <w:sz w:val="20"/>
          <w:szCs w:val="20"/>
        </w:rPr>
        <w:t>a</w:t>
      </w: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 xml:space="preserve">tención Médica. </w:t>
      </w:r>
    </w:p>
    <w:p w14:paraId="7FF2318F" w14:textId="77777777" w:rsidR="00B3562A" w:rsidRPr="00B3562A" w:rsidRDefault="00B3562A" w:rsidP="00B356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 xml:space="preserve">Reglamento de Insumos para la Salud. </w:t>
      </w:r>
    </w:p>
    <w:p w14:paraId="09643C34" w14:textId="77777777" w:rsidR="00B3562A" w:rsidRPr="00B3562A" w:rsidRDefault="00B3562A" w:rsidP="00B356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>Ley Federal de Infraestructura de Calidad.</w:t>
      </w:r>
    </w:p>
    <w:p w14:paraId="6566571A" w14:textId="77777777" w:rsidR="00B3562A" w:rsidRPr="00B3562A" w:rsidRDefault="00B3562A" w:rsidP="00B356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>Reglamento de Control Sanitario de Productos y Servicios.</w:t>
      </w:r>
    </w:p>
    <w:p w14:paraId="222873D6" w14:textId="77777777" w:rsidR="00B3562A" w:rsidRPr="00B3562A" w:rsidRDefault="00B3562A" w:rsidP="00B356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 xml:space="preserve">Compendio Nacional de Insumos para la Salud, vigente. </w:t>
      </w:r>
    </w:p>
    <w:p w14:paraId="04F0A818" w14:textId="77777777" w:rsidR="00B3562A" w:rsidRPr="00B3562A" w:rsidRDefault="00B3562A" w:rsidP="00B356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>Ley Federal para el Control de Precursores Químicos, Productos, Químicos Esenciales y Máquinas para Elaborar Cápsulas, Tabletas y/o Comprimidos.</w:t>
      </w:r>
    </w:p>
    <w:p w14:paraId="1F6D61E9" w14:textId="77777777" w:rsidR="00B3562A" w:rsidRPr="00B3562A" w:rsidRDefault="00B3562A" w:rsidP="00B356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B3562A">
        <w:rPr>
          <w:rFonts w:ascii="Montserrat" w:eastAsia="Montserrat" w:hAnsi="Montserrat" w:cs="Montserrat"/>
          <w:color w:val="000000"/>
          <w:sz w:val="20"/>
          <w:szCs w:val="20"/>
        </w:rPr>
        <w:t>Farmacopea de los Estados Unidos Mexicanos (FEUM).</w:t>
      </w:r>
    </w:p>
    <w:p w14:paraId="137AA049" w14:textId="77777777" w:rsidR="00B3562A" w:rsidRPr="00B3562A" w:rsidRDefault="00B3562A" w:rsidP="00B356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sz w:val="20"/>
          <w:szCs w:val="20"/>
        </w:rPr>
      </w:pPr>
    </w:p>
    <w:p w14:paraId="4251DC2B" w14:textId="15F812FE" w:rsidR="00B3562A" w:rsidRPr="00B3562A" w:rsidRDefault="00B3562A" w:rsidP="00B3562A">
      <w:pPr>
        <w:spacing w:after="0" w:line="240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B3562A">
        <w:rPr>
          <w:rFonts w:ascii="Montserrat" w:eastAsia="Montserrat" w:hAnsi="Montserrat" w:cs="Montserrat"/>
          <w:sz w:val="20"/>
          <w:szCs w:val="20"/>
        </w:rPr>
        <w:t xml:space="preserve">Así como </w:t>
      </w:r>
      <w:r w:rsidR="00FF7D32">
        <w:rPr>
          <w:rFonts w:ascii="Montserrat" w:eastAsia="Montserrat" w:hAnsi="Montserrat" w:cs="Montserrat"/>
          <w:sz w:val="20"/>
          <w:szCs w:val="20"/>
        </w:rPr>
        <w:t>de</w:t>
      </w:r>
      <w:r w:rsidRPr="00B3562A">
        <w:rPr>
          <w:rFonts w:ascii="Montserrat" w:eastAsia="Montserrat" w:hAnsi="Montserrat" w:cs="Montserrat"/>
          <w:sz w:val="20"/>
          <w:szCs w:val="20"/>
        </w:rPr>
        <w:t xml:space="preserve"> las siguientes Normas Oficiales Mexicanas para claves del grupo 010 y 040 comprendidas en la categoría de medicamentos del Compendio Nacional de Insumos para la Salud:</w:t>
      </w:r>
    </w:p>
    <w:p w14:paraId="5978441F" w14:textId="77777777" w:rsidR="00B3562A" w:rsidRDefault="00B3562A" w:rsidP="00B3562A">
      <w:pPr>
        <w:spacing w:line="259" w:lineRule="auto"/>
        <w:jc w:val="both"/>
        <w:rPr>
          <w:rFonts w:ascii="Montserrat" w:eastAsia="Montserrat" w:hAnsi="Montserrat" w:cs="Montserrat"/>
          <w:sz w:val="18"/>
          <w:szCs w:val="18"/>
        </w:rPr>
      </w:pPr>
    </w:p>
    <w:tbl>
      <w:tblPr>
        <w:tblW w:w="87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379"/>
      </w:tblGrid>
      <w:tr w:rsidR="00FF7D32" w:rsidRPr="00FF7D32" w14:paraId="19899835" w14:textId="77777777" w:rsidTr="00FF7D3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  <w:vAlign w:val="center"/>
          </w:tcPr>
          <w:p w14:paraId="2B192591" w14:textId="17371BD3" w:rsidR="00FF7D32" w:rsidRPr="00FF7D32" w:rsidRDefault="00FF7D32" w:rsidP="00FF7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right="210"/>
              <w:jc w:val="center"/>
              <w:rPr>
                <w:rFonts w:ascii="Montserrat" w:eastAsia="Montserrat" w:hAnsi="Montserrat" w:cs="Montserrat"/>
                <w:b/>
                <w:color w:val="000000"/>
                <w:sz w:val="18"/>
                <w:szCs w:val="18"/>
              </w:rPr>
            </w:pPr>
            <w:r w:rsidRPr="00FF7D32">
              <w:rPr>
                <w:rFonts w:ascii="Montserrat" w:eastAsia="Montserrat" w:hAnsi="Montserrat" w:cs="Montserrat"/>
                <w:b/>
                <w:color w:val="000000"/>
                <w:sz w:val="18"/>
                <w:szCs w:val="18"/>
              </w:rPr>
              <w:t>Norma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  <w:vAlign w:val="center"/>
          </w:tcPr>
          <w:p w14:paraId="7EC2FDA5" w14:textId="17340904" w:rsidR="00FF7D32" w:rsidRPr="00FF7D32" w:rsidRDefault="00FF7D32" w:rsidP="00FF7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right="210"/>
              <w:jc w:val="center"/>
              <w:rPr>
                <w:rFonts w:ascii="Montserrat" w:eastAsia="Montserrat" w:hAnsi="Montserrat" w:cs="Montserrat"/>
                <w:b/>
                <w:color w:val="000000"/>
                <w:sz w:val="18"/>
                <w:szCs w:val="18"/>
              </w:rPr>
            </w:pPr>
            <w:r w:rsidRPr="00FF7D32">
              <w:rPr>
                <w:rFonts w:ascii="Montserrat" w:eastAsia="Montserrat" w:hAnsi="Montserrat" w:cs="Montserrat"/>
                <w:b/>
                <w:color w:val="000000"/>
                <w:sz w:val="18"/>
                <w:szCs w:val="18"/>
              </w:rPr>
              <w:t>Descripción</w:t>
            </w:r>
          </w:p>
        </w:tc>
      </w:tr>
      <w:tr w:rsidR="00B3562A" w14:paraId="6C7D7352" w14:textId="77777777" w:rsidTr="00FF7D3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A45AE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NOM-072-SSA1-2012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01E0B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Etiquetado de medicamentos y de remedios herbolarios</w:t>
            </w:r>
          </w:p>
        </w:tc>
      </w:tr>
      <w:tr w:rsidR="00B3562A" w14:paraId="353F8D05" w14:textId="77777777" w:rsidTr="00FF7D3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DFD23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NOM-177-SSA1-2013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4F45E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 xml:space="preserve">Establece las pruebas y procedimientos para demostrar que un medicamento es intercambiable. Requisitos a que deben sujetarse los terceros autorizados que realicen las pruebas de intercambiabilidad. Requisitos para realizar los estudios de </w:t>
            </w:r>
            <w:proofErr w:type="spellStart"/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biocomparabilidad</w:t>
            </w:r>
            <w:proofErr w:type="spellEnd"/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 xml:space="preserve">. Requisitos a que deben sujetarse los terceros autorizados, centros de investigación o, instituciones hospitalarias que realicen las pruebas de </w:t>
            </w:r>
            <w:proofErr w:type="spellStart"/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biocomparabilidad</w:t>
            </w:r>
            <w:proofErr w:type="spellEnd"/>
          </w:p>
        </w:tc>
      </w:tr>
      <w:tr w:rsidR="00B3562A" w14:paraId="2ED6A4B0" w14:textId="77777777" w:rsidTr="00FF7D3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CE9C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NOM-257-SSA1-2014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00FAF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En materia de medicamentos biotecnológicos</w:t>
            </w:r>
          </w:p>
        </w:tc>
      </w:tr>
      <w:tr w:rsidR="00B3562A" w14:paraId="4F2D3DAA" w14:textId="77777777" w:rsidTr="00FF7D3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8ADEE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NOM-059-SSA1-2015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573ED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Buenas prácticas de fabricación de Medicamentos</w:t>
            </w:r>
          </w:p>
        </w:tc>
      </w:tr>
      <w:tr w:rsidR="00B3562A" w14:paraId="1919D734" w14:textId="77777777" w:rsidTr="00FF7D3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722F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NOM-073-SSA1-2015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03D3B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98"/>
                <w:tab w:val="left" w:pos="2738"/>
                <w:tab w:val="left" w:pos="4324"/>
              </w:tabs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Estabilidad de fármacos y medicamentos, así como de remedios Herbolarios</w:t>
            </w:r>
          </w:p>
        </w:tc>
      </w:tr>
      <w:tr w:rsidR="00B3562A" w14:paraId="2EAE56A8" w14:textId="77777777" w:rsidTr="00FF7D3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1A668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NOM-164-SSA1-2015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A652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98"/>
                <w:tab w:val="left" w:pos="2738"/>
                <w:tab w:val="left" w:pos="4324"/>
              </w:tabs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Buenas prácticas de fabricación de fármacos</w:t>
            </w:r>
          </w:p>
        </w:tc>
      </w:tr>
      <w:tr w:rsidR="00B3562A" w14:paraId="18BD72D4" w14:textId="77777777" w:rsidTr="00FF7D3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F2DB7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NOM-220-SSA1-2016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B8A6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98"/>
                <w:tab w:val="left" w:pos="2738"/>
                <w:tab w:val="left" w:pos="4324"/>
              </w:tabs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Instalación y operación de la farmacovigilancia</w:t>
            </w:r>
          </w:p>
        </w:tc>
      </w:tr>
      <w:tr w:rsidR="00B3562A" w14:paraId="39F20991" w14:textId="77777777" w:rsidTr="00FF7D3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ADD2C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NOM-144-SEMARNAT-2017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3B6A0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98"/>
                <w:tab w:val="left" w:pos="2738"/>
                <w:tab w:val="left" w:pos="4324"/>
              </w:tabs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Que establece las medidas fitosanitarias y los requisitos de la marca reconocidas internacionalmente para el embalaje de madera que se utiliza en el comercio internacional de bienes y mercancías.</w:t>
            </w:r>
          </w:p>
        </w:tc>
      </w:tr>
      <w:tr w:rsidR="00B3562A" w14:paraId="7F61EE1B" w14:textId="77777777" w:rsidTr="00FF7D32"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5D9D1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98"/>
                <w:tab w:val="left" w:pos="2738"/>
                <w:tab w:val="left" w:pos="4324"/>
              </w:tabs>
              <w:spacing w:after="0" w:line="240" w:lineRule="auto"/>
              <w:ind w:right="-115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 w:rsidRPr="004529F7"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 xml:space="preserve">Suplemento </w:t>
            </w: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para Establecimientos dedicados a la venta y suministro de medicamentos y demás insumos para la salud.</w:t>
            </w:r>
          </w:p>
        </w:tc>
      </w:tr>
    </w:tbl>
    <w:p w14:paraId="6AF87113" w14:textId="77777777" w:rsidR="00B3562A" w:rsidRDefault="00B3562A" w:rsidP="00B3562A">
      <w:pPr>
        <w:spacing w:line="259" w:lineRule="auto"/>
        <w:jc w:val="both"/>
        <w:rPr>
          <w:rFonts w:ascii="Montserrat" w:eastAsia="Montserrat" w:hAnsi="Montserrat" w:cs="Montserrat"/>
          <w:sz w:val="18"/>
          <w:szCs w:val="18"/>
        </w:rPr>
      </w:pPr>
    </w:p>
    <w:p w14:paraId="5816DC10" w14:textId="4D8E9930" w:rsidR="00B3562A" w:rsidRDefault="00B3562A" w:rsidP="00B3562A">
      <w:pPr>
        <w:spacing w:line="259" w:lineRule="auto"/>
        <w:jc w:val="both"/>
        <w:rPr>
          <w:rFonts w:ascii="Montserrat" w:eastAsia="Montserrat" w:hAnsi="Montserrat" w:cs="Montserrat"/>
          <w:sz w:val="18"/>
          <w:szCs w:val="18"/>
        </w:rPr>
      </w:pPr>
      <w:r>
        <w:rPr>
          <w:rFonts w:ascii="Montserrat" w:eastAsia="Montserrat" w:hAnsi="Montserrat" w:cs="Montserrat"/>
          <w:sz w:val="18"/>
          <w:szCs w:val="18"/>
        </w:rPr>
        <w:lastRenderedPageBreak/>
        <w:t xml:space="preserve">Y las siguientes Normas Oficiales Mexicanas para claves del grupo 030 comprendidas en la categoría de Nutriología del Compendio Nacional de Insumos para la Salud: </w:t>
      </w:r>
    </w:p>
    <w:tbl>
      <w:tblPr>
        <w:tblW w:w="86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237"/>
      </w:tblGrid>
      <w:tr w:rsidR="004D3B7C" w:rsidRPr="004D3B7C" w14:paraId="49683517" w14:textId="77777777" w:rsidTr="004D3B7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  <w:vAlign w:val="center"/>
          </w:tcPr>
          <w:p w14:paraId="30D603D9" w14:textId="77777777" w:rsidR="004D3B7C" w:rsidRPr="004D3B7C" w:rsidRDefault="004D3B7C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right="210"/>
              <w:jc w:val="center"/>
              <w:rPr>
                <w:rFonts w:ascii="Montserrat" w:eastAsia="Montserrat" w:hAnsi="Montserrat" w:cs="Montserrat"/>
                <w:b/>
                <w:color w:val="000000"/>
                <w:sz w:val="18"/>
                <w:szCs w:val="18"/>
              </w:rPr>
            </w:pPr>
            <w:r w:rsidRPr="004D3B7C">
              <w:rPr>
                <w:rFonts w:ascii="Montserrat" w:eastAsia="Montserrat" w:hAnsi="Montserrat" w:cs="Montserrat"/>
                <w:b/>
                <w:color w:val="000000"/>
                <w:sz w:val="18"/>
                <w:szCs w:val="18"/>
              </w:rPr>
              <w:t>Norma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  <w:vAlign w:val="center"/>
          </w:tcPr>
          <w:p w14:paraId="1D5E657D" w14:textId="77777777" w:rsidR="004D3B7C" w:rsidRPr="004D3B7C" w:rsidRDefault="004D3B7C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right="210"/>
              <w:jc w:val="center"/>
              <w:rPr>
                <w:rFonts w:ascii="Montserrat" w:eastAsia="Montserrat" w:hAnsi="Montserrat" w:cs="Montserrat"/>
                <w:b/>
                <w:color w:val="000000"/>
                <w:sz w:val="18"/>
                <w:szCs w:val="18"/>
              </w:rPr>
            </w:pPr>
            <w:r w:rsidRPr="004D3B7C">
              <w:rPr>
                <w:rFonts w:ascii="Montserrat" w:eastAsia="Montserrat" w:hAnsi="Montserrat" w:cs="Montserrat"/>
                <w:b/>
                <w:color w:val="000000"/>
                <w:sz w:val="18"/>
                <w:szCs w:val="18"/>
              </w:rPr>
              <w:t>Descripción</w:t>
            </w:r>
          </w:p>
        </w:tc>
      </w:tr>
      <w:tr w:rsidR="00B3562A" w14:paraId="2596AA5D" w14:textId="77777777" w:rsidTr="004D3B7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D9998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10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NOM-131-SSA1-2012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A40DA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10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Productos y servicios. Fórmulas para lactantes, de continuación y para necesidades especiales de nutrición. Alimentos y bebidas no alcohólicas para lactantes y niños de corta edad. Disposiciones y especificaciones sanitarias y nutrimentales. Etiquetado y métodos de prueba.</w:t>
            </w:r>
          </w:p>
        </w:tc>
      </w:tr>
      <w:tr w:rsidR="00B3562A" w14:paraId="18599498" w14:textId="77777777" w:rsidTr="004D3B7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269FC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10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NOM-243-SSA1-2010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8A4DC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10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Productos y servicios. Leche, fórmula láctea, producto lácteo combinado y derivados lácteos. Disposiciones y especificaciones sanitarias. Métodos de prueba.</w:t>
            </w:r>
          </w:p>
        </w:tc>
      </w:tr>
      <w:tr w:rsidR="00B3562A" w14:paraId="38755F23" w14:textId="77777777" w:rsidTr="004D3B7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4AAF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10"/>
              <w:jc w:val="both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  <w:t>NOM-251-SSA1-2009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EFA4" w14:textId="77777777" w:rsidR="00B3562A" w:rsidRDefault="00B3562A" w:rsidP="004D3B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10"/>
              <w:jc w:val="both"/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color w:val="000000"/>
                <w:sz w:val="16"/>
                <w:szCs w:val="16"/>
              </w:rPr>
              <w:t>Prácticas de higiene para el proceso de alimentos, bebidas o suplementos alimenticios.</w:t>
            </w:r>
          </w:p>
        </w:tc>
      </w:tr>
    </w:tbl>
    <w:p w14:paraId="0F795563" w14:textId="77777777" w:rsidR="00B3562A" w:rsidRDefault="00B3562A" w:rsidP="00365554">
      <w:pPr>
        <w:spacing w:after="0" w:line="240" w:lineRule="auto"/>
        <w:jc w:val="both"/>
        <w:rPr>
          <w:rFonts w:ascii="Montserrat" w:hAnsi="Montserrat"/>
          <w:sz w:val="20"/>
          <w:szCs w:val="20"/>
        </w:rPr>
      </w:pPr>
    </w:p>
    <w:sectPr w:rsidR="00B3562A" w:rsidSect="005B2565">
      <w:headerReference w:type="default" r:id="rId8"/>
      <w:pgSz w:w="12240" w:h="15840"/>
      <w:pgMar w:top="297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0018B" w14:textId="77777777" w:rsidR="006353AB" w:rsidRDefault="006353AB" w:rsidP="00121564">
      <w:pPr>
        <w:spacing w:after="0" w:line="240" w:lineRule="auto"/>
      </w:pPr>
      <w:r>
        <w:separator/>
      </w:r>
    </w:p>
  </w:endnote>
  <w:endnote w:type="continuationSeparator" w:id="0">
    <w:p w14:paraId="0349B1BC" w14:textId="77777777" w:rsidR="006353AB" w:rsidRDefault="006353AB" w:rsidP="00121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39FEC" w14:textId="77777777" w:rsidR="006353AB" w:rsidRDefault="006353AB" w:rsidP="00121564">
      <w:pPr>
        <w:spacing w:after="0" w:line="240" w:lineRule="auto"/>
      </w:pPr>
      <w:r>
        <w:separator/>
      </w:r>
    </w:p>
  </w:footnote>
  <w:footnote w:type="continuationSeparator" w:id="0">
    <w:p w14:paraId="159A4CA5" w14:textId="77777777" w:rsidR="006353AB" w:rsidRDefault="006353AB" w:rsidP="00121564">
      <w:pPr>
        <w:spacing w:after="0" w:line="240" w:lineRule="auto"/>
      </w:pPr>
      <w:r>
        <w:continuationSeparator/>
      </w:r>
    </w:p>
  </w:footnote>
  <w:footnote w:id="1">
    <w:p w14:paraId="769CA6C5" w14:textId="3991D35C" w:rsidR="00121564" w:rsidRDefault="00121564" w:rsidP="00121564">
      <w:pPr>
        <w:pStyle w:val="Textonotapie"/>
        <w:jc w:val="both"/>
      </w:pPr>
      <w:r>
        <w:rPr>
          <w:rStyle w:val="Refdenotaalpie"/>
        </w:rPr>
        <w:footnoteRef/>
      </w:r>
      <w:r>
        <w:t xml:space="preserve"> El Anexo Técnico se elabora en cumplimiento a lo señalado en el numeral 4.21.3.</w:t>
      </w:r>
      <w:r w:rsidRPr="00121564">
        <w:t xml:space="preserve"> </w:t>
      </w:r>
      <w:r w:rsidR="00087E15">
        <w:t xml:space="preserve">de las </w:t>
      </w:r>
      <w:r>
        <w:t>Políticas, Bases y Lineamientos en Materia de Adquisiciones, Arrendamientos y Servicios de Servicios de Salud del Instituto Mexicano del Seguro Social para el Bienestar (IMSS-BIENESTAR)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71213" w14:textId="52D0839C" w:rsidR="005B2565" w:rsidRDefault="005B256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2455D928" wp14:editId="7DB31870">
          <wp:simplePos x="0" y="0"/>
          <wp:positionH relativeFrom="page">
            <wp:posOffset>23845</wp:posOffset>
          </wp:positionH>
          <wp:positionV relativeFrom="paragraph">
            <wp:posOffset>-379008</wp:posOffset>
          </wp:positionV>
          <wp:extent cx="7815580" cy="10176510"/>
          <wp:effectExtent l="0" t="0" r="0" b="0"/>
          <wp:wrapNone/>
          <wp:docPr id="82305191" name="Imagen 82305191" descr="Text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Texto&#10;&#10;Descripción generada automáticamente con confianza baj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15580" cy="10176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A5FD6"/>
    <w:multiLevelType w:val="multilevel"/>
    <w:tmpl w:val="B8F0697A"/>
    <w:lvl w:ilvl="0">
      <w:start w:val="4"/>
      <w:numFmt w:val="bullet"/>
      <w:lvlText w:val="-"/>
      <w:lvlJc w:val="left"/>
      <w:pPr>
        <w:ind w:left="720" w:hanging="360"/>
      </w:pPr>
      <w:rPr>
        <w:rFonts w:ascii="Montserrat Medium" w:eastAsia="Montserrat Medium" w:hAnsi="Montserrat Medium" w:cs="Montserrat Medium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C44EF"/>
    <w:multiLevelType w:val="multilevel"/>
    <w:tmpl w:val="6D1EB1C2"/>
    <w:lvl w:ilvl="0">
      <w:start w:val="3"/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E56478"/>
    <w:multiLevelType w:val="hybridMultilevel"/>
    <w:tmpl w:val="AD10CFA2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D962D55"/>
    <w:multiLevelType w:val="multilevel"/>
    <w:tmpl w:val="9E92C08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336CB0"/>
    <w:multiLevelType w:val="hybridMultilevel"/>
    <w:tmpl w:val="1F20719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1675C"/>
    <w:multiLevelType w:val="multilevel"/>
    <w:tmpl w:val="E970ECAE"/>
    <w:lvl w:ilvl="0">
      <w:start w:val="3"/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E9C5642"/>
    <w:multiLevelType w:val="hybridMultilevel"/>
    <w:tmpl w:val="B21A06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C6A69"/>
    <w:multiLevelType w:val="hybridMultilevel"/>
    <w:tmpl w:val="B28075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E2FBD"/>
    <w:multiLevelType w:val="hybridMultilevel"/>
    <w:tmpl w:val="E3EC6E3A"/>
    <w:lvl w:ilvl="0" w:tplc="8A7415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94852"/>
    <w:multiLevelType w:val="multilevel"/>
    <w:tmpl w:val="4A46D15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35F0702"/>
    <w:multiLevelType w:val="multilevel"/>
    <w:tmpl w:val="F9A84D6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7642602"/>
    <w:multiLevelType w:val="hybridMultilevel"/>
    <w:tmpl w:val="16D43C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05B3E"/>
    <w:multiLevelType w:val="multilevel"/>
    <w:tmpl w:val="422843AA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3473E2B"/>
    <w:multiLevelType w:val="hybridMultilevel"/>
    <w:tmpl w:val="A7A4AA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70062">
    <w:abstractNumId w:val="4"/>
  </w:num>
  <w:num w:numId="2" w16cid:durableId="301080567">
    <w:abstractNumId w:val="9"/>
  </w:num>
  <w:num w:numId="3" w16cid:durableId="716854737">
    <w:abstractNumId w:val="5"/>
  </w:num>
  <w:num w:numId="4" w16cid:durableId="1325548123">
    <w:abstractNumId w:val="7"/>
  </w:num>
  <w:num w:numId="5" w16cid:durableId="1202594053">
    <w:abstractNumId w:val="12"/>
  </w:num>
  <w:num w:numId="6" w16cid:durableId="506676720">
    <w:abstractNumId w:val="8"/>
  </w:num>
  <w:num w:numId="7" w16cid:durableId="352925958">
    <w:abstractNumId w:val="11"/>
  </w:num>
  <w:num w:numId="8" w16cid:durableId="1930650271">
    <w:abstractNumId w:val="10"/>
  </w:num>
  <w:num w:numId="9" w16cid:durableId="187255714">
    <w:abstractNumId w:val="1"/>
  </w:num>
  <w:num w:numId="10" w16cid:durableId="386226112">
    <w:abstractNumId w:val="3"/>
  </w:num>
  <w:num w:numId="11" w16cid:durableId="1943605278">
    <w:abstractNumId w:val="0"/>
  </w:num>
  <w:num w:numId="12" w16cid:durableId="470710076">
    <w:abstractNumId w:val="2"/>
  </w:num>
  <w:num w:numId="13" w16cid:durableId="1780223962">
    <w:abstractNumId w:val="13"/>
  </w:num>
  <w:num w:numId="14" w16cid:durableId="638193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93"/>
    <w:rsid w:val="000749B0"/>
    <w:rsid w:val="00076A0C"/>
    <w:rsid w:val="00081F5A"/>
    <w:rsid w:val="00087E15"/>
    <w:rsid w:val="000A24D1"/>
    <w:rsid w:val="00105418"/>
    <w:rsid w:val="001143B9"/>
    <w:rsid w:val="00121564"/>
    <w:rsid w:val="00197EC0"/>
    <w:rsid w:val="001F2585"/>
    <w:rsid w:val="002A4D90"/>
    <w:rsid w:val="00323AB3"/>
    <w:rsid w:val="00365554"/>
    <w:rsid w:val="003A0DFA"/>
    <w:rsid w:val="00402169"/>
    <w:rsid w:val="004029FA"/>
    <w:rsid w:val="00411570"/>
    <w:rsid w:val="00430992"/>
    <w:rsid w:val="004B1C84"/>
    <w:rsid w:val="004D3B7C"/>
    <w:rsid w:val="004F1F8F"/>
    <w:rsid w:val="005603CC"/>
    <w:rsid w:val="00572871"/>
    <w:rsid w:val="005A509F"/>
    <w:rsid w:val="005B2565"/>
    <w:rsid w:val="005E1ED3"/>
    <w:rsid w:val="005F708D"/>
    <w:rsid w:val="00614131"/>
    <w:rsid w:val="006353AB"/>
    <w:rsid w:val="006575BC"/>
    <w:rsid w:val="006A5CEE"/>
    <w:rsid w:val="006D5880"/>
    <w:rsid w:val="00736D52"/>
    <w:rsid w:val="00752C72"/>
    <w:rsid w:val="00897EB4"/>
    <w:rsid w:val="008D0F69"/>
    <w:rsid w:val="00926802"/>
    <w:rsid w:val="00AA3BB7"/>
    <w:rsid w:val="00AE375F"/>
    <w:rsid w:val="00AF7270"/>
    <w:rsid w:val="00AF7A69"/>
    <w:rsid w:val="00B14149"/>
    <w:rsid w:val="00B3562A"/>
    <w:rsid w:val="00B90527"/>
    <w:rsid w:val="00C7598D"/>
    <w:rsid w:val="00D77154"/>
    <w:rsid w:val="00DC638D"/>
    <w:rsid w:val="00E23A0C"/>
    <w:rsid w:val="00E931BD"/>
    <w:rsid w:val="00EB2001"/>
    <w:rsid w:val="00EC1A33"/>
    <w:rsid w:val="00EE1793"/>
    <w:rsid w:val="00F619A1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3245"/>
  <w15:chartTrackingRefBased/>
  <w15:docId w15:val="{2A04984F-3CF4-467C-A421-2518E6A0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E17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17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E17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E17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E17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E17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E17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E17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E17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E17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17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E17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E179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E179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E179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E179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E179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E179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E17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E17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E17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E17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E17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E179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E179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E179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E17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E179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E1793"/>
    <w:rPr>
      <w:b/>
      <w:bCs/>
      <w:smallCaps/>
      <w:color w:val="0F4761" w:themeColor="accent1" w:themeShade="BF"/>
      <w:spacing w:val="5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2156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2156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2156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7287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72871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5B25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2565"/>
  </w:style>
  <w:style w:type="paragraph" w:styleId="Piedepgina">
    <w:name w:val="footer"/>
    <w:basedOn w:val="Normal"/>
    <w:link w:val="PiedepginaCar"/>
    <w:uiPriority w:val="99"/>
    <w:unhideWhenUsed/>
    <w:rsid w:val="005B25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565"/>
  </w:style>
  <w:style w:type="character" w:styleId="Refdecomentario">
    <w:name w:val="annotation reference"/>
    <w:basedOn w:val="Fuentedeprrafopredeter"/>
    <w:uiPriority w:val="99"/>
    <w:semiHidden/>
    <w:unhideWhenUsed/>
    <w:rsid w:val="00323AB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23AB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23AB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A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A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D0E23-D8E1-46B0-A166-F4FCACF1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Aleida Rosa Morales Zeballos</dc:creator>
  <cp:keywords/>
  <dc:description/>
  <cp:lastModifiedBy>Karla Paola Gamboa Rodríguez</cp:lastModifiedBy>
  <cp:revision>2</cp:revision>
  <dcterms:created xsi:type="dcterms:W3CDTF">2024-10-01T03:49:00Z</dcterms:created>
  <dcterms:modified xsi:type="dcterms:W3CDTF">2024-10-01T03:49:00Z</dcterms:modified>
</cp:coreProperties>
</file>